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F8" w:rsidRDefault="00DE7D31">
      <w:pPr>
        <w:spacing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University of Houston System</w:t>
      </w:r>
      <w:r w:rsidR="00C03E92">
        <w:rPr>
          <w:rFonts w:ascii="Times New Roman" w:eastAsia="Times New Roman" w:hAnsi="Times New Roman"/>
          <w:b/>
          <w:bCs/>
          <w:color w:val="000000"/>
          <w:sz w:val="24"/>
          <w:szCs w:val="24"/>
        </w:rPr>
        <w:t xml:space="preserve">wide Public Art Committee </w:t>
      </w:r>
    </w:p>
    <w:p w:rsidR="00E86AF8" w:rsidRDefault="00C03E92">
      <w:pPr>
        <w:spacing w:line="240" w:lineRule="auto"/>
        <w:jc w:val="center"/>
      </w:pPr>
      <w:r>
        <w:rPr>
          <w:rFonts w:ascii="Times New Roman" w:eastAsia="Times New Roman" w:hAnsi="Times New Roman"/>
          <w:b/>
          <w:bCs/>
          <w:color w:val="000000"/>
          <w:sz w:val="24"/>
          <w:szCs w:val="24"/>
        </w:rPr>
        <w:t>Operating Procedures Manual</w:t>
      </w:r>
    </w:p>
    <w:p w:rsidR="00E86AF8" w:rsidRDefault="00C03E92">
      <w:pPr>
        <w:numPr>
          <w:ilvl w:val="0"/>
          <w:numId w:val="1"/>
        </w:numPr>
        <w:spacing w:after="0" w:line="240" w:lineRule="auto"/>
        <w:ind w:left="360"/>
      </w:pPr>
      <w:r>
        <w:rPr>
          <w:rFonts w:ascii="Times New Roman" w:eastAsia="Times New Roman" w:hAnsi="Times New Roman"/>
          <w:b/>
          <w:bCs/>
          <w:color w:val="000000"/>
          <w:sz w:val="24"/>
          <w:szCs w:val="24"/>
          <w:u w:val="single"/>
        </w:rPr>
        <w:t>Public Art Mission Statement</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firstLine="720"/>
      </w:pPr>
      <w:r>
        <w:rPr>
          <w:rFonts w:ascii="Times New Roman" w:eastAsia="Times New Roman" w:hAnsi="Times New Roman"/>
          <w:bCs/>
          <w:color w:val="000000"/>
          <w:sz w:val="24"/>
          <w:szCs w:val="24"/>
        </w:rPr>
        <w:t>Inspiring. Distinctive. Global.</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720"/>
      </w:pPr>
      <w:r>
        <w:rPr>
          <w:rFonts w:ascii="Times New Roman" w:eastAsia="Times New Roman" w:hAnsi="Times New Roman"/>
          <w:bCs/>
          <w:color w:val="000000"/>
          <w:sz w:val="24"/>
          <w:szCs w:val="24"/>
        </w:rPr>
        <w:t>The University of Houston System's ambitious Public Art Collection engages academic and global communities in an open forum to promote dialogue about the visual arts and its relevance to contemporary life.</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 distinguished works of critically-important artists enrich the cultural and intellectual character of the University of Houston System, and reflect and connect our uniquely diverse audience.</w:t>
      </w:r>
    </w:p>
    <w:p w:rsidR="00E86AF8" w:rsidRDefault="00E86AF8">
      <w:pPr>
        <w:spacing w:after="0" w:line="240" w:lineRule="auto"/>
        <w:ind w:left="720"/>
        <w:rPr>
          <w:rFonts w:ascii="Times New Roman" w:eastAsia="Times New Roman" w:hAnsi="Times New Roman"/>
          <w:sz w:val="24"/>
          <w:szCs w:val="24"/>
        </w:rPr>
      </w:pPr>
    </w:p>
    <w:p w:rsidR="00E86AF8" w:rsidRDefault="00C03E92">
      <w:pPr>
        <w:numPr>
          <w:ilvl w:val="0"/>
          <w:numId w:val="2"/>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Background and Charge of the Committee</w:t>
      </w:r>
    </w:p>
    <w:p w:rsidR="00E86AF8" w:rsidRDefault="00E86AF8">
      <w:pPr>
        <w:spacing w:after="0" w:line="240" w:lineRule="auto"/>
        <w:ind w:left="360"/>
        <w:rPr>
          <w:rFonts w:ascii="Times New Roman" w:eastAsia="Times New Roman" w:hAnsi="Times New Roman"/>
          <w:color w:val="000000"/>
          <w:sz w:val="24"/>
          <w:szCs w:val="24"/>
        </w:rPr>
      </w:pPr>
    </w:p>
    <w:p w:rsidR="00E86AF8" w:rsidRDefault="00C03E92">
      <w:pPr>
        <w:spacing w:after="0" w:line="240" w:lineRule="auto"/>
        <w:ind w:left="360"/>
      </w:pPr>
      <w:r>
        <w:rPr>
          <w:rFonts w:ascii="Times New Roman" w:eastAsia="Times New Roman" w:hAnsi="Times New Roman"/>
          <w:color w:val="000000"/>
          <w:sz w:val="24"/>
          <w:szCs w:val="24"/>
        </w:rPr>
        <w:t xml:space="preserve">This Committee was formed in an advisory capacity to the University </w:t>
      </w:r>
      <w:proofErr w:type="gramStart"/>
      <w:r>
        <w:rPr>
          <w:rFonts w:ascii="Times New Roman" w:eastAsia="Times New Roman" w:hAnsi="Times New Roman"/>
          <w:color w:val="000000"/>
          <w:sz w:val="24"/>
          <w:szCs w:val="24"/>
        </w:rPr>
        <w:t>of Houston System Board of</w:t>
      </w:r>
      <w:proofErr w:type="gramEnd"/>
      <w:r>
        <w:rPr>
          <w:rFonts w:ascii="Times New Roman" w:eastAsia="Times New Roman" w:hAnsi="Times New Roman"/>
          <w:color w:val="000000"/>
          <w:sz w:val="24"/>
          <w:szCs w:val="24"/>
        </w:rPr>
        <w:t xml:space="preserve"> Regents to aid in the building of a distinguished collection of 20</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and 21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xml:space="preserve"> century art for all universities in the University of Houston System.</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360"/>
      </w:pPr>
      <w:r>
        <w:rPr>
          <w:rFonts w:ascii="Times New Roman" w:eastAsia="Times New Roman" w:hAnsi="Times New Roman"/>
          <w:color w:val="000000"/>
          <w:sz w:val="24"/>
          <w:szCs w:val="24"/>
        </w:rPr>
        <w:t xml:space="preserve">The Board of Regents of the University </w:t>
      </w:r>
      <w:proofErr w:type="gramStart"/>
      <w:r>
        <w:rPr>
          <w:rFonts w:ascii="Times New Roman" w:eastAsia="Times New Roman" w:hAnsi="Times New Roman"/>
          <w:color w:val="000000"/>
          <w:sz w:val="24"/>
          <w:szCs w:val="24"/>
        </w:rPr>
        <w:t>of</w:t>
      </w:r>
      <w:proofErr w:type="gramEnd"/>
      <w:r>
        <w:rPr>
          <w:rFonts w:ascii="Times New Roman" w:eastAsia="Times New Roman" w:hAnsi="Times New Roman"/>
          <w:color w:val="000000"/>
          <w:sz w:val="24"/>
          <w:szCs w:val="24"/>
        </w:rPr>
        <w:t xml:space="preserve"> Houston (BOR) approved the program for the acquisition of public art in 1966 to be funded in accordance with state and federal laws. The program is financed in whole or part by the public art revenue plan, a 1969 Texas law enabling the funding of public art from construction projects (currently not to exceed 1% of the construction budget).</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360"/>
      </w:pPr>
      <w:r>
        <w:rPr>
          <w:rFonts w:ascii="Times New Roman" w:eastAsia="Times New Roman" w:hAnsi="Times New Roman"/>
          <w:color w:val="000000"/>
          <w:sz w:val="24"/>
          <w:szCs w:val="24"/>
        </w:rPr>
        <w:t>The Committee oversees the following responsibilities with regard to the System Wide Public Art Program:</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Sets the tone and the vision for the Collection, assuring that all activities are in accordance with the adopted Mission Statement, Strategic Plan and UHS Master Plans.</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Approves artists for commission and/or acquisition for permanent installations in conjunction with Director and Chief Curator.</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Approves temporary public art projects. </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Approves transfer of ownership of holdings, when deemed appropriate.</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Serves as fiduciary steward for owned and borrowed works, particularly relating to maintenance, site optimization, conservation, related documentation and keeping appraisals current.</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Assures relevant policies and procedures are followed in all Public Art Collection activities.</w:t>
      </w:r>
    </w:p>
    <w:p w:rsidR="00E86AF8" w:rsidRDefault="00C03E92">
      <w:pPr>
        <w:numPr>
          <w:ilvl w:val="0"/>
          <w:numId w:val="3"/>
        </w:numPr>
        <w:tabs>
          <w:tab w:val="left" w:pos="720"/>
        </w:tabs>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Promotes the Collection.</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These procedures are written in accordance with Section 444.029 of Texas Government Code and UH System Board Policy 53.01, in which any county, municipality, or other political subdivision of this state undertaking a public construction project estimated to cost </w:t>
      </w:r>
      <w:r>
        <w:rPr>
          <w:rFonts w:ascii="Times New Roman" w:eastAsia="Times New Roman" w:hAnsi="Times New Roman"/>
          <w:sz w:val="24"/>
          <w:szCs w:val="24"/>
        </w:rPr>
        <w:lastRenderedPageBreak/>
        <w:t>more than $250,000 may specify that a percentage not to exceed one percent of the cost of the construction project shall be used for fine arts projects at or near the site of the construction project and complies with industry-standard best practices.</w:t>
      </w:r>
    </w:p>
    <w:p w:rsidR="00E86AF8" w:rsidRDefault="00E86AF8">
      <w:pPr>
        <w:spacing w:after="0" w:line="240" w:lineRule="auto"/>
        <w:ind w:left="720"/>
        <w:rPr>
          <w:rFonts w:ascii="Times New Roman" w:eastAsia="Times New Roman" w:hAnsi="Times New Roman"/>
          <w:sz w:val="24"/>
          <w:szCs w:val="24"/>
        </w:rPr>
      </w:pPr>
    </w:p>
    <w:p w:rsidR="00E86AF8" w:rsidRDefault="00C03E9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These procedures will be posted on the System-wide Public Art Collection web site and will be updated as procedures are revised by the Committee. The System-wide Public Art Committee will complete and publish annually a report of its activities, including compliance with procedure provisions. The Chair of the Committee is responsible for ensuring compliance with procedures in this document.</w:t>
      </w:r>
    </w:p>
    <w:p w:rsidR="00E86AF8" w:rsidRDefault="00E86AF8">
      <w:pPr>
        <w:spacing w:after="0" w:line="240" w:lineRule="auto"/>
        <w:ind w:left="720"/>
        <w:rPr>
          <w:rFonts w:ascii="Times New Roman" w:eastAsia="Times New Roman" w:hAnsi="Times New Roman"/>
          <w:sz w:val="24"/>
          <w:szCs w:val="24"/>
        </w:rPr>
      </w:pPr>
    </w:p>
    <w:p w:rsidR="00E86AF8" w:rsidRDefault="00C03E9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Changes to procedures may be recommended by Committee members and will be reviewed by the Stewardship &amp; Standards Sub-committee. Following receipt of a recommended procedure change, the Stewardship &amp; Standards Sub-committee will be convened to review these recommended changes. Every three years, the Stewardship &amp; Standards Sub-committee will be convened to review the current procedures and discuss potential procedure changes. All recommended procedure changes will be presented by the Stewardship &amp; Standards Committee to the Committee for their approval. Following Committee approval, the operating procedures manual shall be submitted to the UH System Board of Regents for their review and approval, in accordance with UH System Policy 53.01.</w:t>
      </w:r>
    </w:p>
    <w:p w:rsidR="00E86AF8" w:rsidRDefault="00E86AF8">
      <w:pPr>
        <w:spacing w:after="0" w:line="240" w:lineRule="auto"/>
        <w:ind w:left="720"/>
        <w:rPr>
          <w:rFonts w:ascii="Times New Roman" w:eastAsia="Times New Roman" w:hAnsi="Times New Roman"/>
          <w:sz w:val="24"/>
          <w:szCs w:val="24"/>
        </w:rPr>
      </w:pPr>
    </w:p>
    <w:p w:rsidR="00E86AF8" w:rsidRDefault="00C03E9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All of the procedures in this manual have been determined to be essential for care and operation of the Collection. Any non-compliance with procedures should be discussed with the Stewardship &amp; Standards Sub-committee and a plan developed by the Director and Chief Curator and Chair to remediate the non-compliance.</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4"/>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Policy Terms</w:t>
      </w:r>
    </w:p>
    <w:p w:rsidR="00E86AF8" w:rsidRDefault="00E86AF8">
      <w:pPr>
        <w:spacing w:after="0" w:line="240" w:lineRule="auto"/>
        <w:ind w:left="360"/>
        <w:rPr>
          <w:rFonts w:ascii="Times New Roman" w:eastAsia="Times New Roman" w:hAnsi="Times New Roman"/>
          <w:b/>
          <w:bCs/>
          <w:color w:val="000000"/>
          <w:sz w:val="24"/>
          <w:szCs w:val="24"/>
          <w:u w:val="single"/>
        </w:rPr>
      </w:pPr>
    </w:p>
    <w:p w:rsidR="00E86AF8" w:rsidRDefault="00C03E92">
      <w:pPr>
        <w:spacing w:after="0" w:line="240" w:lineRule="auto"/>
        <w:ind w:left="3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 following policy terms will be us throughout this document:</w:t>
      </w:r>
    </w:p>
    <w:p w:rsidR="00E86AF8" w:rsidRDefault="00E86AF8">
      <w:pPr>
        <w:spacing w:after="0" w:line="240" w:lineRule="auto"/>
        <w:ind w:left="360"/>
        <w:rPr>
          <w:rFonts w:ascii="Times New Roman" w:eastAsia="Times New Roman" w:hAnsi="Times New Roman"/>
          <w:b/>
          <w:bCs/>
          <w:color w:val="000000"/>
          <w:sz w:val="24"/>
          <w:szCs w:val="24"/>
          <w:u w:val="single"/>
        </w:rPr>
      </w:pPr>
    </w:p>
    <w:p w:rsidR="00E86AF8" w:rsidRDefault="00C03E92">
      <w:pPr>
        <w:numPr>
          <w:ilvl w:val="1"/>
          <w:numId w:val="4"/>
        </w:numPr>
        <w:spacing w:after="0" w:line="240" w:lineRule="auto"/>
        <w:ind w:left="1080"/>
      </w:pPr>
      <w:r>
        <w:rPr>
          <w:rFonts w:ascii="Times New Roman" w:eastAsia="Times New Roman" w:hAnsi="Times New Roman"/>
          <w:b/>
          <w:bCs/>
          <w:color w:val="000000"/>
          <w:sz w:val="24"/>
          <w:szCs w:val="24"/>
        </w:rPr>
        <w:t>Artist</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is a person engaged in one or more of any of a broad spectrum of activities related</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to creating, practicing or demonstrating a self-conceptualized body of work with serious intent and ability.</w:t>
      </w:r>
    </w:p>
    <w:p w:rsidR="00E86AF8" w:rsidRDefault="00C03E92">
      <w:pPr>
        <w:numPr>
          <w:ilvl w:val="1"/>
          <w:numId w:val="4"/>
        </w:numPr>
        <w:spacing w:after="0" w:line="240" w:lineRule="auto"/>
        <w:ind w:left="1080"/>
      </w:pPr>
      <w:r>
        <w:rPr>
          <w:rFonts w:ascii="Times New Roman" w:eastAsia="Times New Roman" w:hAnsi="Times New Roman"/>
          <w:b/>
          <w:bCs/>
          <w:color w:val="000000"/>
          <w:sz w:val="24"/>
          <w:szCs w:val="24"/>
        </w:rPr>
        <w:t>Artwork</w:t>
      </w:r>
      <w:r>
        <w:rPr>
          <w:rFonts w:ascii="Times New Roman" w:eastAsia="Times New Roman" w:hAnsi="Times New Roman"/>
          <w:color w:val="000000"/>
          <w:sz w:val="24"/>
          <w:szCs w:val="24"/>
        </w:rPr>
        <w:t xml:space="preserve"> is executed by an artist in a variety of media such, as but not limited to sculpture, painting, printmaking or photography or a performance.</w:t>
      </w:r>
    </w:p>
    <w:p w:rsidR="00E86AF8" w:rsidRDefault="00C03E92">
      <w:pPr>
        <w:numPr>
          <w:ilvl w:val="1"/>
          <w:numId w:val="5"/>
        </w:numPr>
        <w:tabs>
          <w:tab w:val="left" w:pos="1440"/>
        </w:tabs>
        <w:spacing w:after="0" w:line="240" w:lineRule="auto"/>
        <w:ind w:left="1080"/>
      </w:pPr>
      <w:r>
        <w:rPr>
          <w:rFonts w:ascii="Times New Roman" w:eastAsia="Times New Roman" w:hAnsi="Times New Roman"/>
          <w:b/>
          <w:bCs/>
          <w:color w:val="000000"/>
          <w:sz w:val="24"/>
          <w:szCs w:val="24"/>
        </w:rPr>
        <w:t>Committee</w:t>
      </w:r>
      <w:r>
        <w:rPr>
          <w:rFonts w:ascii="Times New Roman" w:eastAsia="Times New Roman" w:hAnsi="Times New Roman"/>
          <w:color w:val="000000"/>
          <w:sz w:val="24"/>
          <w:szCs w:val="24"/>
        </w:rPr>
        <w:t xml:space="preserve"> means the System-Wide Public Art Committee.</w:t>
      </w:r>
    </w:p>
    <w:p w:rsidR="00E86AF8" w:rsidRDefault="00C03E92">
      <w:pPr>
        <w:numPr>
          <w:ilvl w:val="1"/>
          <w:numId w:val="6"/>
        </w:numPr>
        <w:tabs>
          <w:tab w:val="left" w:pos="1440"/>
        </w:tabs>
        <w:spacing w:after="0" w:line="240" w:lineRule="auto"/>
        <w:ind w:left="1080"/>
      </w:pPr>
      <w:r>
        <w:rPr>
          <w:rFonts w:ascii="Times New Roman" w:eastAsia="Times New Roman" w:hAnsi="Times New Roman"/>
          <w:b/>
          <w:bCs/>
          <w:color w:val="000000"/>
          <w:sz w:val="24"/>
          <w:szCs w:val="24"/>
        </w:rPr>
        <w:t>Capital Construction Project</w:t>
      </w:r>
      <w:r>
        <w:rPr>
          <w:rFonts w:ascii="Times New Roman" w:eastAsia="Times New Roman" w:hAnsi="Times New Roman"/>
          <w:color w:val="000000"/>
          <w:sz w:val="24"/>
          <w:szCs w:val="24"/>
        </w:rPr>
        <w:t xml:space="preserve"> refers to any new building or the addition of square footage to an existing building. Total project costs must exceed $1,000,000 for the 1% of public art revenue to apply. For facility renovation projects, total project cost must exceed $5,000,000 for the 0.5% public art revenue to apply.</w:t>
      </w:r>
    </w:p>
    <w:p w:rsidR="00E86AF8" w:rsidRDefault="00C03E92">
      <w:pPr>
        <w:numPr>
          <w:ilvl w:val="1"/>
          <w:numId w:val="7"/>
        </w:numPr>
        <w:tabs>
          <w:tab w:val="left" w:pos="1440"/>
        </w:tabs>
        <w:spacing w:after="0" w:line="240" w:lineRule="auto"/>
        <w:ind w:left="108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Public Art Revenue</w:t>
      </w:r>
    </w:p>
    <w:p w:rsidR="00E86AF8" w:rsidRDefault="00C03E92">
      <w:pPr>
        <w:spacing w:after="0" w:line="240" w:lineRule="auto"/>
        <w:ind w:left="1080"/>
      </w:pPr>
      <w:r>
        <w:rPr>
          <w:rFonts w:ascii="Times New Roman" w:eastAsia="Times New Roman" w:hAnsi="Times New Roman"/>
          <w:color w:val="000000"/>
          <w:sz w:val="24"/>
          <w:szCs w:val="24"/>
        </w:rPr>
        <w:t xml:space="preserve">For appropriation purposes, </w:t>
      </w:r>
      <w:r>
        <w:rPr>
          <w:rFonts w:ascii="Times New Roman" w:eastAsia="Times New Roman" w:hAnsi="Times New Roman"/>
          <w:b/>
          <w:bCs/>
          <w:color w:val="000000"/>
          <w:sz w:val="24"/>
          <w:szCs w:val="24"/>
        </w:rPr>
        <w:t>1% for Art</w:t>
      </w:r>
      <w:r>
        <w:rPr>
          <w:rFonts w:ascii="Times New Roman" w:eastAsia="Times New Roman" w:hAnsi="Times New Roman"/>
          <w:color w:val="000000"/>
          <w:sz w:val="24"/>
          <w:szCs w:val="24"/>
        </w:rPr>
        <w:t xml:space="preserve"> is based on the total cost of new construction.</w:t>
      </w:r>
    </w:p>
    <w:p w:rsidR="00E86AF8" w:rsidRDefault="00C03E92">
      <w:pPr>
        <w:spacing w:after="0" w:line="240" w:lineRule="auto"/>
        <w:ind w:left="1080"/>
      </w:pPr>
      <w:r>
        <w:rPr>
          <w:rFonts w:ascii="Times New Roman" w:eastAsia="Times New Roman" w:hAnsi="Times New Roman"/>
          <w:color w:val="000000"/>
          <w:sz w:val="24"/>
          <w:szCs w:val="24"/>
        </w:rPr>
        <w:t xml:space="preserve">For appropriation purposes, the </w:t>
      </w:r>
      <w:r>
        <w:rPr>
          <w:rFonts w:ascii="Times New Roman" w:eastAsia="Times New Roman" w:hAnsi="Times New Roman"/>
          <w:b/>
          <w:color w:val="000000"/>
          <w:sz w:val="24"/>
          <w:szCs w:val="24"/>
        </w:rPr>
        <w:t>0.5% for Art</w:t>
      </w:r>
      <w:r>
        <w:rPr>
          <w:rFonts w:ascii="Times New Roman" w:eastAsia="Times New Roman" w:hAnsi="Times New Roman"/>
          <w:color w:val="000000"/>
          <w:sz w:val="24"/>
          <w:szCs w:val="24"/>
        </w:rPr>
        <w:t xml:space="preserve"> is based on the total cost of construction for facility renovations.</w:t>
      </w:r>
    </w:p>
    <w:p w:rsidR="00E86AF8" w:rsidRDefault="00C03E92">
      <w:pPr>
        <w:numPr>
          <w:ilvl w:val="1"/>
          <w:numId w:val="8"/>
        </w:numPr>
        <w:tabs>
          <w:tab w:val="left" w:pos="1440"/>
        </w:tabs>
        <w:spacing w:after="0" w:line="240" w:lineRule="auto"/>
        <w:ind w:left="1080"/>
      </w:pPr>
      <w:r>
        <w:rPr>
          <w:rFonts w:ascii="Times New Roman" w:eastAsia="Times New Roman" w:hAnsi="Times New Roman"/>
          <w:b/>
          <w:bCs/>
          <w:color w:val="000000"/>
          <w:sz w:val="24"/>
          <w:szCs w:val="24"/>
        </w:rPr>
        <w:t xml:space="preserve">Director and Chief Curator </w:t>
      </w:r>
      <w:r>
        <w:rPr>
          <w:rFonts w:ascii="Times New Roman" w:eastAsia="Times New Roman" w:hAnsi="Times New Roman"/>
          <w:color w:val="000000"/>
          <w:sz w:val="24"/>
          <w:szCs w:val="24"/>
        </w:rPr>
        <w:t xml:space="preserve"> works with Committee, Facilities Planning &amp; Construction and artists to facilitate projects and artist commissions, calls meetings, </w:t>
      </w:r>
      <w:r>
        <w:rPr>
          <w:rFonts w:ascii="Times New Roman" w:eastAsia="Times New Roman" w:hAnsi="Times New Roman"/>
          <w:color w:val="000000"/>
          <w:sz w:val="24"/>
          <w:szCs w:val="24"/>
        </w:rPr>
        <w:lastRenderedPageBreak/>
        <w:t>maintains the archives on all committee work and work in the collections and, in addition, coordinates all necessary conservation and maintenance, prepares necessary budgets, labeling and brochures for the collection.</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9"/>
        </w:numPr>
        <w:tabs>
          <w:tab w:val="left" w:pos="720"/>
        </w:tabs>
        <w:spacing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Membership</w:t>
      </w:r>
    </w:p>
    <w:p w:rsidR="00E86AF8" w:rsidRDefault="00C03E92">
      <w:pPr>
        <w:spacing w:line="240" w:lineRule="auto"/>
        <w:ind w:left="360"/>
      </w:pPr>
      <w:r>
        <w:rPr>
          <w:rFonts w:ascii="Times New Roman" w:eastAsia="Times New Roman" w:hAnsi="Times New Roman"/>
          <w:color w:val="000000"/>
          <w:sz w:val="24"/>
          <w:szCs w:val="24"/>
        </w:rPr>
        <w:t>The System Wide Public Art Committee members will be approved by Board of Regents (BOR) and include the following 19 voting and two ex-officio members:</w:t>
      </w:r>
    </w:p>
    <w:p w:rsidR="00E86AF8" w:rsidRDefault="00C03E92" w:rsidP="001E6085">
      <w:pPr>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Chair- Associate Vice Chancellor/Associate Vice President for Administration</w:t>
      </w:r>
    </w:p>
    <w:p w:rsidR="00E86AF8" w:rsidRDefault="00C03E92" w:rsidP="001E6085">
      <w:pPr>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Two representatives from the BOR, appointed by the Chair of the BOR</w:t>
      </w:r>
    </w:p>
    <w:p w:rsidR="00E86AF8" w:rsidRDefault="008155F2" w:rsidP="001E6085">
      <w:pPr>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Director and Chief </w:t>
      </w:r>
      <w:r w:rsidR="00C03E92">
        <w:rPr>
          <w:rFonts w:ascii="Times New Roman" w:eastAsia="Times New Roman" w:hAnsi="Times New Roman"/>
          <w:color w:val="000000"/>
          <w:sz w:val="24"/>
          <w:szCs w:val="24"/>
        </w:rPr>
        <w:t>Curator of Public Art of the University of Houston System.</w:t>
      </w:r>
    </w:p>
    <w:p w:rsidR="00E86AF8" w:rsidRDefault="00C03E92" w:rsidP="001E6085">
      <w:pPr>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Director, University of Houston </w:t>
      </w:r>
      <w:proofErr w:type="spellStart"/>
      <w:r>
        <w:rPr>
          <w:rFonts w:ascii="Times New Roman" w:eastAsia="Times New Roman" w:hAnsi="Times New Roman"/>
          <w:color w:val="000000"/>
          <w:sz w:val="24"/>
          <w:szCs w:val="24"/>
        </w:rPr>
        <w:t>Blaffer</w:t>
      </w:r>
      <w:proofErr w:type="spellEnd"/>
      <w:r>
        <w:rPr>
          <w:rFonts w:ascii="Times New Roman" w:eastAsia="Times New Roman" w:hAnsi="Times New Roman"/>
          <w:color w:val="000000"/>
          <w:sz w:val="24"/>
          <w:szCs w:val="24"/>
        </w:rPr>
        <w:t xml:space="preserve"> Art Museum</w:t>
      </w:r>
    </w:p>
    <w:p w:rsidR="00E86AF8" w:rsidRPr="001E6085" w:rsidRDefault="00C03E92" w:rsidP="001E6085">
      <w:pPr>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One appointee and one alternate appointee from each university to be appointed </w:t>
      </w:r>
      <w:r w:rsidRPr="001E6085">
        <w:rPr>
          <w:rFonts w:ascii="Times New Roman" w:eastAsia="Times New Roman" w:hAnsi="Times New Roman"/>
          <w:color w:val="000000"/>
          <w:sz w:val="24"/>
          <w:szCs w:val="24"/>
        </w:rPr>
        <w:t>by that UH President, three year term.  Preference may be given for arts experience. May be appointed to second term.</w:t>
      </w:r>
    </w:p>
    <w:p w:rsidR="001E6085" w:rsidRDefault="00C03E92" w:rsidP="001E6085">
      <w:pPr>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One artist, who has a work in the current collection, and who would not be </w:t>
      </w:r>
      <w:r w:rsidRPr="001E6085">
        <w:rPr>
          <w:rFonts w:ascii="Times New Roman" w:eastAsia="Times New Roman" w:hAnsi="Times New Roman"/>
          <w:color w:val="000000"/>
          <w:sz w:val="24"/>
          <w:szCs w:val="24"/>
        </w:rPr>
        <w:t>selected for future commissions, two-year term.</w:t>
      </w:r>
    </w:p>
    <w:p w:rsidR="00E86AF8" w:rsidRPr="001E6085" w:rsidRDefault="00C03E92" w:rsidP="001E6085">
      <w:pPr>
        <w:numPr>
          <w:ilvl w:val="0"/>
          <w:numId w:val="25"/>
        </w:numPr>
        <w:spacing w:after="0" w:line="240" w:lineRule="auto"/>
        <w:rPr>
          <w:rFonts w:ascii="Times New Roman" w:eastAsia="Times New Roman" w:hAnsi="Times New Roman"/>
          <w:color w:val="000000"/>
          <w:sz w:val="24"/>
          <w:szCs w:val="24"/>
        </w:rPr>
      </w:pPr>
      <w:r w:rsidRPr="001E6085">
        <w:rPr>
          <w:rFonts w:ascii="Times New Roman" w:eastAsia="Times New Roman" w:hAnsi="Times New Roman"/>
          <w:color w:val="000000"/>
          <w:sz w:val="24"/>
          <w:szCs w:val="24"/>
        </w:rPr>
        <w:t>Four arts professionals (unaffiliated with the University) for three year term.  May be appointed to second term.</w:t>
      </w:r>
    </w:p>
    <w:p w:rsidR="00E86AF8" w:rsidRDefault="00C03E92" w:rsidP="001E6085">
      <w:pPr>
        <w:pStyle w:val="ListParagraph"/>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Three Community representatives, three year term.  May be appointed to second term. </w:t>
      </w:r>
    </w:p>
    <w:p w:rsidR="00E86AF8" w:rsidRDefault="00C03E92" w:rsidP="001E6085">
      <w:pPr>
        <w:pStyle w:val="ListParagraph"/>
        <w:numPr>
          <w:ilvl w:val="0"/>
          <w:numId w:val="25"/>
        </w:numPr>
        <w:spacing w:after="0" w:line="240" w:lineRule="auto"/>
      </w:pPr>
      <w:r>
        <w:rPr>
          <w:rFonts w:ascii="Times New Roman" w:eastAsia="Times New Roman" w:hAnsi="Times New Roman"/>
          <w:color w:val="000000"/>
          <w:sz w:val="24"/>
          <w:szCs w:val="24"/>
        </w:rPr>
        <w:t xml:space="preserve">Vice Chancellor for University Advancement. </w:t>
      </w:r>
    </w:p>
    <w:p w:rsidR="00E86AF8" w:rsidRDefault="00C03E92" w:rsidP="001E6085">
      <w:pPr>
        <w:pStyle w:val="ListParagraph"/>
        <w:numPr>
          <w:ilvl w:val="0"/>
          <w:numId w:val="25"/>
        </w:numPr>
        <w:spacing w:after="0" w:line="240" w:lineRule="auto"/>
      </w:pPr>
      <w:r>
        <w:rPr>
          <w:rFonts w:ascii="Times New Roman" w:eastAsia="Times New Roman" w:hAnsi="Times New Roman"/>
          <w:color w:val="000000"/>
          <w:sz w:val="24"/>
          <w:szCs w:val="24"/>
        </w:rPr>
        <w:t>Nationally or internationally recognized art critic of the visual arts.</w:t>
      </w:r>
    </w:p>
    <w:p w:rsidR="00E86AF8" w:rsidRDefault="00762D38" w:rsidP="001E6085">
      <w:pPr>
        <w:pStyle w:val="ListParagraph"/>
        <w:numPr>
          <w:ilvl w:val="0"/>
          <w:numId w:val="25"/>
        </w:numPr>
        <w:spacing w:after="0" w:line="240" w:lineRule="auto"/>
      </w:pPr>
      <w:r>
        <w:rPr>
          <w:rFonts w:ascii="Times New Roman" w:eastAsia="Times New Roman" w:hAnsi="Times New Roman"/>
          <w:color w:val="000000"/>
          <w:sz w:val="24"/>
          <w:szCs w:val="24"/>
        </w:rPr>
        <w:t>Associate Vice Chancellor/Associate Vice President of Facilities Construction and Management</w:t>
      </w:r>
      <w:r w:rsidR="00C03E92">
        <w:rPr>
          <w:rFonts w:ascii="Times New Roman" w:eastAsia="Times New Roman" w:hAnsi="Times New Roman"/>
          <w:color w:val="000000"/>
          <w:sz w:val="24"/>
          <w:szCs w:val="24"/>
        </w:rPr>
        <w:t xml:space="preserve"> will serve as an ex officio member.</w:t>
      </w:r>
    </w:p>
    <w:p w:rsidR="00E86AF8" w:rsidRPr="001E6085" w:rsidRDefault="00C03E92" w:rsidP="001E6085">
      <w:pPr>
        <w:pStyle w:val="ListParagraph"/>
        <w:numPr>
          <w:ilvl w:val="0"/>
          <w:numId w:val="25"/>
        </w:numPr>
        <w:spacing w:after="0" w:line="240" w:lineRule="auto"/>
      </w:pPr>
      <w:r>
        <w:rPr>
          <w:rFonts w:ascii="Times New Roman" w:eastAsia="Times New Roman" w:hAnsi="Times New Roman"/>
          <w:color w:val="000000"/>
          <w:sz w:val="24"/>
          <w:szCs w:val="24"/>
        </w:rPr>
        <w:t>Dean of Architecture or designee will serve as an ex officio member.</w:t>
      </w:r>
    </w:p>
    <w:p w:rsidR="00E86AF8" w:rsidRPr="001E6085" w:rsidRDefault="008155F2" w:rsidP="001E6085">
      <w:pPr>
        <w:pStyle w:val="ListParagraph"/>
        <w:numPr>
          <w:ilvl w:val="0"/>
          <w:numId w:val="25"/>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One University of Houston System student from each System university to be appointed by the component university president, one-year term, for a total of four student representatives. May be appointed to second term.</w:t>
      </w:r>
    </w:p>
    <w:p w:rsidR="00E86AF8" w:rsidRDefault="00E86AF8" w:rsidP="001E6085">
      <w:pPr>
        <w:spacing w:line="240" w:lineRule="auto"/>
        <w:ind w:left="720"/>
        <w:rPr>
          <w:rFonts w:ascii="Times New Roman" w:eastAsia="Times New Roman" w:hAnsi="Times New Roman"/>
          <w:color w:val="000000"/>
          <w:sz w:val="24"/>
          <w:szCs w:val="24"/>
        </w:rPr>
      </w:pPr>
    </w:p>
    <w:p w:rsidR="00E86AF8" w:rsidRDefault="00C03E92">
      <w:pPr>
        <w:spacing w:line="240" w:lineRule="auto"/>
        <w:ind w:left="1080"/>
      </w:pPr>
      <w:r>
        <w:rPr>
          <w:rFonts w:ascii="Times New Roman" w:eastAsia="Times New Roman" w:hAnsi="Times New Roman"/>
          <w:color w:val="000000"/>
          <w:sz w:val="24"/>
          <w:szCs w:val="24"/>
        </w:rPr>
        <w:t>University of Houston Clients, Project Architect and Project Manager will be invited to meetings on a per project basis.</w:t>
      </w:r>
    </w:p>
    <w:p w:rsidR="00E86AF8" w:rsidRDefault="00C03E92">
      <w:pPr>
        <w:numPr>
          <w:ilvl w:val="0"/>
          <w:numId w:val="11"/>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Policy and Process for Obtaining Public Art Revenue</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720"/>
      </w:pPr>
      <w:r>
        <w:rPr>
          <w:rFonts w:ascii="Times New Roman" w:eastAsia="Times New Roman" w:hAnsi="Times New Roman"/>
          <w:bCs/>
          <w:color w:val="000000"/>
          <w:sz w:val="24"/>
          <w:szCs w:val="24"/>
        </w:rPr>
        <w:t>In accordance with Board of Regents Policy 53.01.1, once quarterly, the Chair of the Committee will request a list of projects that meet the criteria for capital construction projects (as defined in this policy) and the corresponding public art allocation for each capital construction project. Allocations for University of Houston capital construction projects will be transferred to the appropriate UH System public art cost centers as budgets for these projects are created. Allocations for University of Houston System component universities will be transferred to the corresponding component university public art cost centers as capital construction projects are funded.</w:t>
      </w:r>
    </w:p>
    <w:p w:rsidR="00E86AF8" w:rsidRDefault="00E86AF8">
      <w:pPr>
        <w:spacing w:after="0" w:line="240" w:lineRule="auto"/>
        <w:rPr>
          <w:rFonts w:ascii="Times New Roman" w:eastAsia="Times New Roman" w:hAnsi="Times New Roman"/>
          <w:sz w:val="24"/>
          <w:szCs w:val="24"/>
        </w:rPr>
      </w:pPr>
    </w:p>
    <w:p w:rsidR="00E86AF8" w:rsidRDefault="00C03E92">
      <w:pPr>
        <w:spacing w:after="0" w:line="240" w:lineRule="auto"/>
        <w:ind w:left="720"/>
      </w:pPr>
      <w:r>
        <w:rPr>
          <w:rFonts w:ascii="Times New Roman" w:eastAsia="Times New Roman" w:hAnsi="Times New Roman"/>
          <w:bCs/>
          <w:color w:val="000000"/>
          <w:sz w:val="24"/>
          <w:szCs w:val="24"/>
        </w:rPr>
        <w:t xml:space="preserve">Allocations for public art acquisition, public art operations, and public art conservation are to be made in separate cost centers. The Chair of the Committee and designated public art </w:t>
      </w:r>
      <w:r>
        <w:rPr>
          <w:rFonts w:ascii="Times New Roman" w:eastAsia="Times New Roman" w:hAnsi="Times New Roman"/>
          <w:bCs/>
          <w:color w:val="000000"/>
          <w:sz w:val="24"/>
          <w:szCs w:val="24"/>
        </w:rPr>
        <w:lastRenderedPageBreak/>
        <w:t>staff are responsible fo</w:t>
      </w:r>
      <w:bookmarkStart w:id="0" w:name="_GoBack"/>
      <w:bookmarkEnd w:id="0"/>
      <w:r>
        <w:rPr>
          <w:rFonts w:ascii="Times New Roman" w:eastAsia="Times New Roman" w:hAnsi="Times New Roman"/>
          <w:bCs/>
          <w:color w:val="000000"/>
          <w:sz w:val="24"/>
          <w:szCs w:val="24"/>
        </w:rPr>
        <w:t>r ensuring the appropriateness of transactions made to these cost centers and for monitoring and approving monthly reconciliations of public art transactions.</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12"/>
        </w:numPr>
        <w:tabs>
          <w:tab w:val="left" w:pos="720"/>
        </w:tabs>
        <w:spacing w:after="0" w:line="240" w:lineRule="auto"/>
        <w:ind w:left="360"/>
      </w:pPr>
      <w:r>
        <w:rPr>
          <w:rFonts w:ascii="Times New Roman" w:eastAsia="Times New Roman" w:hAnsi="Times New Roman"/>
          <w:b/>
          <w:bCs/>
          <w:color w:val="000000"/>
          <w:sz w:val="24"/>
          <w:szCs w:val="24"/>
          <w:u w:val="single"/>
        </w:rPr>
        <w:t>Overview of Committee Responsibilities</w:t>
      </w:r>
    </w:p>
    <w:p w:rsidR="00E86AF8" w:rsidRDefault="00C03E92">
      <w:pPr>
        <w:spacing w:after="0" w:line="240" w:lineRule="auto"/>
        <w:ind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Committee shall: </w:t>
      </w:r>
    </w:p>
    <w:p w:rsidR="00E86AF8" w:rsidRDefault="00C03E92">
      <w:pPr>
        <w:pStyle w:val="ListParagraph"/>
        <w:numPr>
          <w:ilvl w:val="1"/>
          <w:numId w:val="13"/>
        </w:numPr>
        <w:spacing w:after="0" w:line="240" w:lineRule="auto"/>
      </w:pPr>
      <w:r>
        <w:rPr>
          <w:rFonts w:ascii="Times New Roman" w:eastAsia="Times New Roman" w:hAnsi="Times New Roman"/>
          <w:color w:val="000000"/>
          <w:sz w:val="24"/>
          <w:szCs w:val="24"/>
        </w:rPr>
        <w:t>Recommend an artist(s) for each project based</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on meeting with Architect and Project Manager.</w:t>
      </w:r>
    </w:p>
    <w:p w:rsidR="00E86AF8" w:rsidRDefault="00C03E92">
      <w:pPr>
        <w:numPr>
          <w:ilvl w:val="1"/>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Recommend the location for the artwork. Sites for artwork shall be identified during the planning or early development stages by the artist, Director and Chief Curator, project manager, and architects in order to effectively and economically integrate art into the planning of the project. Existing campus sites unrelated to the project location may be identified for the artwork. This includes ensuring that artwork selections meet the needs of the UHS universities’ master plans. To ensure that Committee members are apprised of current master plan activities, a presentation of System university master plans should be made each September.</w:t>
      </w:r>
    </w:p>
    <w:p w:rsidR="00E86AF8" w:rsidRDefault="00C03E92">
      <w:pPr>
        <w:numPr>
          <w:ilvl w:val="1"/>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Recommend proposal phasing and design. </w:t>
      </w:r>
    </w:p>
    <w:p w:rsidR="00E86AF8" w:rsidRDefault="00C03E92">
      <w:pPr>
        <w:numPr>
          <w:ilvl w:val="1"/>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Criteria for selection of artwork shall include but is not limited to the following: </w:t>
      </w:r>
    </w:p>
    <w:p w:rsidR="00E86AF8" w:rsidRDefault="00C03E92">
      <w:pPr>
        <w:numPr>
          <w:ilvl w:val="0"/>
          <w:numId w:val="14"/>
        </w:numPr>
        <w:tabs>
          <w:tab w:val="left" w:pos="72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Fits the Mission and Strategic Plan;</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Appropriateness to the location;</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Artistic excellence;</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High probability of completion within timeline;</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Durability and ease of maintenance;</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Ability to accomplish, fabricate and install artwork within project budget;</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High visibility;</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Excitement and interest for the users of the facility, University and the surrounding community;</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Ability to relate to a diverse demographic;</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Complement the existing collection;</w:t>
      </w:r>
    </w:p>
    <w:p w:rsidR="00E86AF8" w:rsidRDefault="00C03E92">
      <w:pPr>
        <w:numPr>
          <w:ilvl w:val="1"/>
          <w:numId w:val="15"/>
        </w:numPr>
        <w:tabs>
          <w:tab w:val="left" w:pos="144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While no restrictions should be placed on content, consideration should be given to the audience and client; and</w:t>
      </w:r>
    </w:p>
    <w:p w:rsidR="00E86AF8" w:rsidRDefault="00C03E92">
      <w:pPr>
        <w:numPr>
          <w:ilvl w:val="0"/>
          <w:numId w:val="16"/>
        </w:numPr>
        <w:tabs>
          <w:tab w:val="left" w:pos="72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Fabrication and installation of artwork.</w:t>
      </w:r>
    </w:p>
    <w:p w:rsidR="00E86AF8" w:rsidRDefault="00C03E92">
      <w:pPr>
        <w:pStyle w:val="ListParagraph"/>
        <w:numPr>
          <w:ilvl w:val="1"/>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Coordinate communication, media relations and public education related to the public art selection and overall public art collection.</w:t>
      </w:r>
    </w:p>
    <w:p w:rsidR="00E86AF8" w:rsidRDefault="00C03E92">
      <w:pPr>
        <w:pStyle w:val="ListParagraph"/>
        <w:numPr>
          <w:ilvl w:val="1"/>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 on a regularly scheduled basis to consider all of the above actions as well as to assist in managing and maintaining the Collection. The Chair of the Committee will be responsible for scheduling and calling these meetings.</w:t>
      </w:r>
    </w:p>
    <w:p w:rsidR="00E86AF8" w:rsidRDefault="00C03E92">
      <w:pPr>
        <w:pStyle w:val="ListParagraph"/>
        <w:numPr>
          <w:ilvl w:val="1"/>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Set aside sufficient budgets for the operating budget supporting the Committee, conservation of the public art collection and other requisite activities. The determination of the specific amount to be set aside to support the Committee will be made by the Executive Vice Chancellor for Administration and Finance based on recommendations from the Committee.</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17"/>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Temporary Public Art Program</w:t>
      </w:r>
    </w:p>
    <w:p w:rsidR="00E86AF8" w:rsidRDefault="00C03E92">
      <w:pPr>
        <w:pStyle w:val="ListParagraph"/>
        <w:numPr>
          <w:ilvl w:val="1"/>
          <w:numId w:val="18"/>
        </w:numPr>
        <w:spacing w:after="0" w:line="240" w:lineRule="auto"/>
        <w:ind w:firstLine="0"/>
      </w:pPr>
      <w:r>
        <w:rPr>
          <w:rFonts w:ascii="Times New Roman" w:eastAsia="Times New Roman" w:hAnsi="Times New Roman"/>
          <w:color w:val="000000"/>
          <w:sz w:val="24"/>
          <w:szCs w:val="24"/>
        </w:rPr>
        <w:t>Oversees a uniquely engaging series of Temporary Public Art projects.</w:t>
      </w:r>
    </w:p>
    <w:p w:rsidR="00E86AF8" w:rsidRDefault="00C03E92">
      <w:pPr>
        <w:pStyle w:val="ListParagraph"/>
        <w:numPr>
          <w:ilvl w:val="1"/>
          <w:numId w:val="18"/>
        </w:numPr>
        <w:spacing w:after="0" w:line="240" w:lineRule="auto"/>
        <w:ind w:firstLine="0"/>
      </w:pPr>
      <w:r>
        <w:rPr>
          <w:rFonts w:ascii="Times New Roman" w:eastAsia="Times New Roman" w:hAnsi="Times New Roman"/>
          <w:color w:val="000000"/>
          <w:sz w:val="24"/>
          <w:szCs w:val="24"/>
        </w:rPr>
        <w:t xml:space="preserve">Provides a changing environment and continuous new opportunities for audience and </w:t>
      </w:r>
    </w:p>
    <w:p w:rsidR="00E86AF8" w:rsidRDefault="00C03E92">
      <w:pPr>
        <w:pStyle w:val="ListParagraph"/>
        <w:spacing w:after="0" w:line="240" w:lineRule="auto"/>
        <w:ind w:left="1080" w:firstLine="360"/>
      </w:pPr>
      <w:proofErr w:type="gramStart"/>
      <w:r>
        <w:rPr>
          <w:rFonts w:ascii="Times New Roman" w:eastAsia="Times New Roman" w:hAnsi="Times New Roman"/>
          <w:color w:val="000000"/>
          <w:sz w:val="24"/>
          <w:szCs w:val="24"/>
        </w:rPr>
        <w:t>community</w:t>
      </w:r>
      <w:proofErr w:type="gramEnd"/>
      <w:r>
        <w:rPr>
          <w:rFonts w:ascii="Times New Roman" w:eastAsia="Times New Roman" w:hAnsi="Times New Roman"/>
          <w:color w:val="000000"/>
          <w:sz w:val="24"/>
          <w:szCs w:val="24"/>
        </w:rPr>
        <w:t xml:space="preserve"> engagement at UHS universities.</w:t>
      </w:r>
    </w:p>
    <w:p w:rsidR="00E86AF8" w:rsidRDefault="00C03E92">
      <w:pPr>
        <w:pStyle w:val="ListParagraph"/>
        <w:numPr>
          <w:ilvl w:val="1"/>
          <w:numId w:val="18"/>
        </w:numPr>
        <w:spacing w:after="0" w:line="240" w:lineRule="auto"/>
        <w:ind w:firstLine="0"/>
      </w:pPr>
      <w:r>
        <w:rPr>
          <w:rFonts w:ascii="Times New Roman" w:eastAsia="Times New Roman" w:hAnsi="Times New Roman"/>
          <w:color w:val="000000"/>
          <w:sz w:val="24"/>
          <w:szCs w:val="24"/>
        </w:rPr>
        <w:lastRenderedPageBreak/>
        <w:t xml:space="preserve">As with the Permanent Collection, promotes the generation of website, social </w:t>
      </w:r>
    </w:p>
    <w:p w:rsidR="00E86AF8" w:rsidRDefault="00C03E92">
      <w:pPr>
        <w:pStyle w:val="ListParagraph"/>
        <w:spacing w:after="0" w:line="240" w:lineRule="auto"/>
        <w:ind w:left="1440"/>
      </w:pPr>
      <w:proofErr w:type="gramStart"/>
      <w:r>
        <w:rPr>
          <w:rFonts w:ascii="Times New Roman" w:eastAsia="Times New Roman" w:hAnsi="Times New Roman"/>
          <w:color w:val="000000"/>
          <w:sz w:val="24"/>
          <w:szCs w:val="24"/>
        </w:rPr>
        <w:t>media</w:t>
      </w:r>
      <w:proofErr w:type="gramEnd"/>
      <w:r>
        <w:rPr>
          <w:rFonts w:ascii="Times New Roman" w:eastAsia="Times New Roman" w:hAnsi="Times New Roman"/>
          <w:color w:val="000000"/>
          <w:sz w:val="24"/>
          <w:szCs w:val="24"/>
        </w:rPr>
        <w:t xml:space="preserve"> and traditional media content to raise the profile of the Collection in accordance with the Strategic and Master Plans.    </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17"/>
        </w:numPr>
        <w:spacing w:after="0" w:line="240" w:lineRule="auto"/>
      </w:pPr>
      <w:r>
        <w:rPr>
          <w:rFonts w:ascii="Times New Roman" w:eastAsia="Times New Roman" w:hAnsi="Times New Roman"/>
          <w:b/>
          <w:bCs/>
          <w:color w:val="000000"/>
          <w:sz w:val="24"/>
          <w:szCs w:val="24"/>
          <w:u w:val="single"/>
        </w:rPr>
        <w:t>Other Acquisition and Gifts</w:t>
      </w:r>
    </w:p>
    <w:p w:rsidR="00E86AF8" w:rsidRDefault="00C03E92">
      <w:pPr>
        <w:pStyle w:val="ListParagraph"/>
        <w:numPr>
          <w:ilvl w:val="1"/>
          <w:numId w:val="19"/>
        </w:numPr>
        <w:spacing w:after="0" w:line="240" w:lineRule="auto"/>
      </w:pPr>
      <w:r>
        <w:rPr>
          <w:rFonts w:ascii="Times New Roman" w:eastAsia="Times New Roman" w:hAnsi="Times New Roman"/>
          <w:color w:val="000000"/>
          <w:sz w:val="24"/>
          <w:szCs w:val="24"/>
        </w:rPr>
        <w:t>Potential gifts of artwork to the University of Houston System to be displayed in public settings and to be used for other than study materials are subject to the same review as works acquired through the public art revenue procedure (Section VI) to insure that their artistic excellence meets the standards of the Committee and the University.  Donor must supply a professional, third-party appraisal of the artwork.</w:t>
      </w:r>
    </w:p>
    <w:p w:rsidR="00E86AF8" w:rsidRDefault="00C03E92">
      <w:pPr>
        <w:pStyle w:val="ListParagraph"/>
        <w:numPr>
          <w:ilvl w:val="1"/>
          <w:numId w:val="19"/>
        </w:numPr>
        <w:spacing w:after="0" w:line="240" w:lineRule="auto"/>
      </w:pPr>
      <w:r>
        <w:rPr>
          <w:rFonts w:ascii="Times New Roman" w:eastAsia="Times New Roman" w:hAnsi="Times New Roman"/>
          <w:color w:val="000000"/>
          <w:sz w:val="24"/>
          <w:szCs w:val="24"/>
        </w:rPr>
        <w:t>The Committee will work proactively with University Advancement to acquire funds to complement the public art revenue, temporary art program and public art collection.</w:t>
      </w:r>
    </w:p>
    <w:p w:rsidR="00E86AF8" w:rsidRDefault="00C03E92">
      <w:pPr>
        <w:pStyle w:val="ListParagraph"/>
        <w:numPr>
          <w:ilvl w:val="1"/>
          <w:numId w:val="19"/>
        </w:numPr>
        <w:spacing w:after="0" w:line="240" w:lineRule="auto"/>
      </w:pPr>
      <w:r>
        <w:rPr>
          <w:rFonts w:ascii="Times New Roman" w:eastAsia="Times New Roman" w:hAnsi="Times New Roman"/>
          <w:color w:val="000000"/>
          <w:sz w:val="24"/>
          <w:szCs w:val="24"/>
        </w:rPr>
        <w:t>Gifts of Art must be vetted through the UH Gift Acceptance Committee before being brought to the University of Houston System-wide Public Art Committee.</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20"/>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Transfer of Ownership</w:t>
      </w:r>
    </w:p>
    <w:p w:rsidR="00E86AF8" w:rsidRDefault="00C03E92">
      <w:pPr>
        <w:pStyle w:val="ListParagraph"/>
        <w:numPr>
          <w:ilvl w:val="2"/>
          <w:numId w:val="13"/>
        </w:numPr>
        <w:spacing w:after="0" w:line="240" w:lineRule="auto"/>
        <w:ind w:left="1440"/>
      </w:pPr>
      <w:r>
        <w:rPr>
          <w:rFonts w:ascii="Times New Roman" w:eastAsia="Times New Roman" w:hAnsi="Times New Roman"/>
          <w:color w:val="000000"/>
          <w:sz w:val="24"/>
          <w:szCs w:val="24"/>
        </w:rPr>
        <w:t>The Committee has adopted the professional standards, policies and the procedural rules that have been provided by the Association of the Art Museum Directors (AAMD), and these regulations are followed by Committee for any transfer of ownership of public art from the Collection.</w:t>
      </w:r>
    </w:p>
    <w:p w:rsidR="00E86AF8" w:rsidRDefault="00E86AF8">
      <w:pPr>
        <w:pStyle w:val="ListParagraph"/>
        <w:spacing w:after="0" w:line="240" w:lineRule="auto"/>
        <w:ind w:left="1440"/>
        <w:rPr>
          <w:rFonts w:ascii="Times New Roman" w:eastAsia="Times New Roman" w:hAnsi="Times New Roman"/>
          <w:color w:val="000000"/>
          <w:sz w:val="24"/>
          <w:szCs w:val="24"/>
        </w:rPr>
      </w:pP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The Committee oversees, approves and executes transfer of ownership for UHS component Universities.  This must be made with great thoughtfulness, care, and prudence. Expressions of donor intent should always be respected in deaccession decisions and the interests of the public, for whose benefit collections are maintained, and thus must always be foremost in making these decisions.</w:t>
      </w:r>
    </w:p>
    <w:p w:rsidR="00E86AF8" w:rsidRDefault="00E86AF8">
      <w:pPr>
        <w:pStyle w:val="ListParagraph"/>
        <w:spacing w:after="0" w:line="240" w:lineRule="auto"/>
        <w:ind w:left="1440"/>
        <w:rPr>
          <w:rFonts w:ascii="Times New Roman" w:eastAsia="Times New Roman" w:hAnsi="Times New Roman"/>
          <w:color w:val="000000"/>
          <w:sz w:val="24"/>
          <w:szCs w:val="24"/>
        </w:rPr>
      </w:pPr>
    </w:p>
    <w:p w:rsidR="00E86AF8" w:rsidRDefault="00C03E92">
      <w:pPr>
        <w:pStyle w:val="ListParagraph"/>
        <w:numPr>
          <w:ilvl w:val="2"/>
          <w:numId w:val="13"/>
        </w:numPr>
        <w:spacing w:after="0" w:line="240" w:lineRule="auto"/>
        <w:ind w:left="1440"/>
      </w:pPr>
      <w:r>
        <w:rPr>
          <w:rFonts w:ascii="Times New Roman" w:eastAsia="Times New Roman" w:hAnsi="Times New Roman"/>
          <w:color w:val="000000"/>
          <w:sz w:val="24"/>
          <w:szCs w:val="24"/>
        </w:rPr>
        <w:t>No Collection transfer of ownership can occur without ascertaining the original terms of the gift, without following current professional standards including those of the Association of the AAMD,</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 xml:space="preserve">or </w:t>
      </w:r>
      <w:r>
        <w:rPr>
          <w:rFonts w:ascii="Times New Roman" w:eastAsia="Times New Roman" w:hAnsi="Times New Roman"/>
          <w:color w:val="000000"/>
          <w:sz w:val="24"/>
          <w:szCs w:val="24"/>
        </w:rPr>
        <w:t>without the recommendation and approval of the Committee.</w:t>
      </w:r>
    </w:p>
    <w:p w:rsidR="00E86AF8" w:rsidRDefault="00E86AF8">
      <w:pPr>
        <w:pStyle w:val="ListParagraph"/>
        <w:rPr>
          <w:rFonts w:ascii="Times New Roman" w:eastAsia="Times New Roman" w:hAnsi="Times New Roman"/>
          <w:color w:val="000000"/>
          <w:sz w:val="24"/>
          <w:szCs w:val="24"/>
        </w:rPr>
      </w:pPr>
    </w:p>
    <w:p w:rsidR="00E86AF8" w:rsidRDefault="00C03E92">
      <w:pPr>
        <w:pStyle w:val="ListParagraph"/>
        <w:numPr>
          <w:ilvl w:val="2"/>
          <w:numId w:val="13"/>
        </w:numPr>
        <w:spacing w:after="0" w:line="240" w:lineRule="auto"/>
        <w:ind w:left="1440"/>
      </w:pPr>
      <w:r>
        <w:rPr>
          <w:rFonts w:ascii="Times New Roman" w:eastAsia="Times New Roman" w:hAnsi="Times New Roman"/>
          <w:color w:val="000000"/>
          <w:sz w:val="24"/>
          <w:szCs w:val="24"/>
        </w:rPr>
        <w:t>There are a number of reasons why transfer of ownership or de-accessioning might be contemplated. Primary among these are:</w:t>
      </w:r>
    </w:p>
    <w:p w:rsidR="00E86AF8" w:rsidRDefault="00E86AF8">
      <w:pPr>
        <w:pStyle w:val="ListParagraph"/>
        <w:rPr>
          <w:rFonts w:ascii="Times New Roman" w:eastAsia="Times New Roman" w:hAnsi="Times New Roman"/>
          <w:color w:val="000000"/>
          <w:sz w:val="24"/>
          <w:szCs w:val="24"/>
        </w:rPr>
      </w:pP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work lacks value for exhibition or study purposes.</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work is a duplicate that has no value as part of a series.</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University Collection’s possession of the work may not be consistent with applicable law</w:t>
      </w:r>
      <w:r>
        <w:rPr>
          <w:rFonts w:ascii="Times New Roman" w:eastAsia="Times New Roman" w:hAnsi="Times New Roman"/>
          <w:i/>
          <w:iCs/>
          <w:color w:val="000000"/>
          <w:sz w:val="24"/>
          <w:szCs w:val="24"/>
        </w:rPr>
        <w:t xml:space="preserve">, e.g., </w:t>
      </w:r>
      <w:r>
        <w:rPr>
          <w:rFonts w:ascii="Times New Roman" w:eastAsia="Times New Roman" w:hAnsi="Times New Roman"/>
          <w:color w:val="000000"/>
          <w:sz w:val="24"/>
          <w:szCs w:val="24"/>
        </w:rPr>
        <w:t>the work may have been stolen or illegally imported in violation of applicable laws of the jurisdiction in which the university is located or the work may be subject to other legal claims.</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 xml:space="preserve">The authenticity or attribution of the work is determined to be false or fraudulent and the object lacks sufficient aesthetic merit or art, historical importance to warrant retention. In disposing of or retaining a presumed </w:t>
      </w:r>
      <w:r>
        <w:rPr>
          <w:rFonts w:ascii="Times New Roman" w:eastAsia="Times New Roman" w:hAnsi="Times New Roman"/>
          <w:color w:val="000000"/>
          <w:sz w:val="24"/>
          <w:szCs w:val="24"/>
        </w:rPr>
        <w:lastRenderedPageBreak/>
        <w:t>forgery, the university collections shall consider all related ethical issues including the consequences of returning the work to the market.</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physical condition of the work is so poor that restoration is not practicable or would compromise the work’s integrity or the artist’s intent.</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work is no longer consistent with the mission or collecting goals of the University or UHS. The Committee exercises great care in considering, revising or reformulating its mission or collecting goals.</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work is being transferred or sold as part of the component university’s effort to refine and improve its Collection, in keeping with the collecting goals reviewed and approved by the Committee.</w:t>
      </w:r>
    </w:p>
    <w:p w:rsidR="00E86AF8" w:rsidRDefault="00C03E92">
      <w:pPr>
        <w:pStyle w:val="ListParagraph"/>
        <w:numPr>
          <w:ilvl w:val="2"/>
          <w:numId w:val="20"/>
        </w:numPr>
        <w:spacing w:after="0" w:line="240" w:lineRule="auto"/>
      </w:pPr>
      <w:r>
        <w:rPr>
          <w:rFonts w:ascii="Times New Roman" w:eastAsia="Times New Roman" w:hAnsi="Times New Roman"/>
          <w:color w:val="000000"/>
          <w:sz w:val="24"/>
          <w:szCs w:val="24"/>
        </w:rPr>
        <w:t>The Collection is unable to care adequately for the work because of the work’s particular requirements for storage or display or its continuing need for special treatment.</w:t>
      </w:r>
    </w:p>
    <w:p w:rsidR="00E86AF8" w:rsidRDefault="00E86AF8">
      <w:pPr>
        <w:spacing w:after="0" w:line="240" w:lineRule="auto"/>
        <w:rPr>
          <w:rFonts w:ascii="Times New Roman" w:eastAsia="Times New Roman" w:hAnsi="Times New Roman"/>
          <w:sz w:val="24"/>
          <w:szCs w:val="24"/>
        </w:rPr>
      </w:pP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The final authority for transfer of ownership of works rests with the Committee or its designee.</w:t>
      </w:r>
    </w:p>
    <w:p w:rsidR="00E86AF8" w:rsidRDefault="00C03E92">
      <w:pPr>
        <w:pStyle w:val="ListParagraph"/>
        <w:numPr>
          <w:ilvl w:val="2"/>
          <w:numId w:val="13"/>
        </w:numPr>
        <w:spacing w:after="0" w:line="240" w:lineRule="auto"/>
        <w:ind w:left="1440"/>
      </w:pPr>
      <w:r>
        <w:rPr>
          <w:rFonts w:ascii="Times New Roman" w:eastAsia="Times New Roman" w:hAnsi="Times New Roman"/>
          <w:color w:val="000000"/>
          <w:sz w:val="24"/>
          <w:szCs w:val="24"/>
        </w:rPr>
        <w:t>The Director and Chief Curator shall exercise care to assure that the recommendations to Committee are based on authoritative expertise.</w:t>
      </w: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Third-party review and appraisal may be considered in the case of objects of substantial value.</w:t>
      </w: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In the case of work(s) by a living artist, special considerations may apply.</w:t>
      </w: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The timing and method of transfer of ownership should be consistent with the UHS’ collection policy. Attention must be given to transparency throughout the process.</w:t>
      </w: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No member of a University of Houston System university’s staff, or anyone whose association with the University of Houston System university may give them an advantage in acquiring the work, shall be permitted to acquire directly or indirectly a work, wholly or in part, by the System, or otherwise benefit from the sale or trade of any artwork in the System collection.</w:t>
      </w:r>
    </w:p>
    <w:p w:rsidR="00E86AF8" w:rsidRDefault="00C03E92">
      <w:pPr>
        <w:pStyle w:val="ListParagraph"/>
        <w:numPr>
          <w:ilvl w:val="2"/>
          <w:numId w:val="13"/>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The following may be taken into account in selecting a method of transfer of ownership:</w:t>
      </w:r>
    </w:p>
    <w:p w:rsidR="00E86AF8" w:rsidRDefault="00C03E92">
      <w:pPr>
        <w:pStyle w:val="ListParagraph"/>
        <w:numPr>
          <w:ilvl w:val="3"/>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Preferred methods of transfer of ownership are sale or transfer to, or exchange with another public institution, sale through publicly advertised auction, and sale or exchange to or through a reputable, established dealer. Every reasonable effort should be taken to identify and evaluate the various advantages and yields available through different means of transfer of ownership.</w:t>
      </w:r>
    </w:p>
    <w:p w:rsidR="00E86AF8" w:rsidRDefault="00C03E92">
      <w:pPr>
        <w:pStyle w:val="ListParagraph"/>
        <w:numPr>
          <w:ilvl w:val="3"/>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 the case of a work of art by a living artist, consideration may be given to an exchange with the artist.</w:t>
      </w:r>
    </w:p>
    <w:p w:rsidR="00E86AF8" w:rsidRDefault="00C03E92">
      <w:pPr>
        <w:pStyle w:val="ListParagraph"/>
        <w:numPr>
          <w:ilvl w:val="3"/>
          <w:numId w:val="1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When ownership of work is transferred, all electronic and paper records must be updated. Prior to transfer of ownership, an image should be taken of the work and retained in Committee records. As works are transferred, the method of transfer, including possible consignee, new owner, sale price and location, if known, should be recorded according to the UHS’s collection management policy.</w:t>
      </w:r>
    </w:p>
    <w:p w:rsidR="00E86AF8" w:rsidRDefault="00E86AF8">
      <w:pPr>
        <w:spacing w:after="0" w:line="240" w:lineRule="auto"/>
        <w:rPr>
          <w:rFonts w:ascii="Times New Roman" w:eastAsia="Times New Roman" w:hAnsi="Times New Roman"/>
          <w:sz w:val="24"/>
          <w:szCs w:val="24"/>
        </w:rPr>
      </w:pP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21"/>
        </w:numPr>
        <w:tabs>
          <w:tab w:val="left" w:pos="720"/>
        </w:tabs>
        <w:spacing w:after="0" w:line="240" w:lineRule="auto"/>
        <w:ind w:left="360"/>
      </w:pPr>
      <w:r>
        <w:rPr>
          <w:rFonts w:ascii="Times New Roman" w:eastAsia="Times New Roman" w:hAnsi="Times New Roman"/>
          <w:b/>
          <w:bCs/>
          <w:color w:val="000000"/>
          <w:sz w:val="24"/>
          <w:szCs w:val="24"/>
          <w:u w:val="single"/>
        </w:rPr>
        <w:lastRenderedPageBreak/>
        <w:t>Loan Policy</w:t>
      </w:r>
    </w:p>
    <w:p w:rsidR="00E86AF8" w:rsidRDefault="00C03E92">
      <w:pPr>
        <w:pStyle w:val="ListParagraph"/>
        <w:numPr>
          <w:ilvl w:val="3"/>
          <w:numId w:val="20"/>
        </w:numPr>
        <w:spacing w:after="0" w:line="240" w:lineRule="auto"/>
        <w:ind w:left="1440"/>
      </w:pPr>
      <w:r>
        <w:rPr>
          <w:rFonts w:ascii="Times New Roman" w:eastAsia="Times New Roman" w:hAnsi="Times New Roman"/>
          <w:color w:val="000000"/>
          <w:sz w:val="24"/>
          <w:szCs w:val="24"/>
        </w:rPr>
        <w:t>UHS will actively pursue artwork loans that meet the goals of the Strategic Plan.  The Committee will include the following criteria in evaluating the acceptability of a loan item:</w:t>
      </w:r>
    </w:p>
    <w:p w:rsidR="00E86AF8" w:rsidRDefault="00C03E92">
      <w:pPr>
        <w:numPr>
          <w:ilvl w:val="0"/>
          <w:numId w:val="22"/>
        </w:numPr>
        <w:tabs>
          <w:tab w:val="left" w:pos="72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Quality of the artwork and its appropriateness in the context of present and future Collection. Loans of artwork must be judged by the same standards as commissioned artwork.</w:t>
      </w:r>
    </w:p>
    <w:p w:rsidR="00E86AF8" w:rsidRDefault="00C03E92">
      <w:pPr>
        <w:numPr>
          <w:ilvl w:val="0"/>
          <w:numId w:val="22"/>
        </w:numPr>
        <w:tabs>
          <w:tab w:val="left" w:pos="72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The Collection’s ability to provide an appropriate site for the artwork.</w:t>
      </w:r>
    </w:p>
    <w:p w:rsidR="00E86AF8" w:rsidRDefault="00C03E92">
      <w:pPr>
        <w:numPr>
          <w:ilvl w:val="0"/>
          <w:numId w:val="22"/>
        </w:numPr>
        <w:tabs>
          <w:tab w:val="left" w:pos="720"/>
        </w:tabs>
        <w:spacing w:after="0" w:line="240" w:lineRule="auto"/>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The Collection’s ability to provide for the safety and security of the artwork and of its audience.</w:t>
      </w:r>
    </w:p>
    <w:p w:rsidR="00E86AF8" w:rsidRDefault="00C03E92">
      <w:pPr>
        <w:pStyle w:val="ListParagraph"/>
        <w:numPr>
          <w:ilvl w:val="3"/>
          <w:numId w:val="20"/>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Artwork on loan to the Collection will be reviewed on an annual basis and the lender may be asked to sign an annual renewal agreement.  The lender will be furnished an annual condition report of the artwork.</w:t>
      </w:r>
    </w:p>
    <w:p w:rsidR="00E86AF8" w:rsidRDefault="00C03E92">
      <w:pPr>
        <w:pStyle w:val="ListParagraph"/>
        <w:numPr>
          <w:ilvl w:val="3"/>
          <w:numId w:val="20"/>
        </w:numPr>
        <w:spacing w:after="0" w:line="240" w:lineRule="auto"/>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A loan agreement and condition report will be prepared for each item of artwork accepted by the Committee.</w:t>
      </w:r>
    </w:p>
    <w:p w:rsidR="00E86AF8" w:rsidRDefault="00C03E92">
      <w:pPr>
        <w:pStyle w:val="ListParagraph"/>
        <w:numPr>
          <w:ilvl w:val="3"/>
          <w:numId w:val="20"/>
        </w:numPr>
        <w:spacing w:after="0" w:line="240" w:lineRule="auto"/>
        <w:ind w:left="1440"/>
      </w:pPr>
      <w:r>
        <w:rPr>
          <w:rFonts w:ascii="Times New Roman" w:eastAsia="Times New Roman" w:hAnsi="Times New Roman"/>
          <w:bCs/>
          <w:color w:val="000000"/>
          <w:sz w:val="24"/>
          <w:szCs w:val="24"/>
        </w:rPr>
        <w:t>Loans made by the University of Houston System Public Art Collection</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 xml:space="preserve">to other venues </w:t>
      </w:r>
      <w:r>
        <w:rPr>
          <w:rFonts w:ascii="Times New Roman" w:eastAsia="Times New Roman" w:hAnsi="Times New Roman"/>
          <w:color w:val="000000"/>
          <w:sz w:val="24"/>
          <w:szCs w:val="24"/>
        </w:rPr>
        <w:t>will be considered based on approval by the Committee, current condition and site of artwork requested, Facility Report and certificate of insurance provided by the institution requesting artwork for loan and fees associated with packing, shipping and re-installation.</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23"/>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Conservation and Maintenance</w:t>
      </w:r>
    </w:p>
    <w:p w:rsidR="00E86AF8" w:rsidRDefault="00C03E92">
      <w:pPr>
        <w:spacing w:after="0" w:line="240" w:lineRule="auto"/>
        <w:ind w:firstLine="360"/>
      </w:pPr>
      <w:r>
        <w:rPr>
          <w:rFonts w:ascii="Times New Roman" w:eastAsia="Times New Roman" w:hAnsi="Times New Roman"/>
          <w:color w:val="000000"/>
          <w:sz w:val="24"/>
          <w:szCs w:val="24"/>
        </w:rPr>
        <w:t xml:space="preserve">Conservation priorities, schedule and a budget shall be established annually by the </w:t>
      </w:r>
    </w:p>
    <w:p w:rsidR="00E86AF8" w:rsidRDefault="00C03E92">
      <w:pPr>
        <w:spacing w:after="0" w:line="240" w:lineRule="auto"/>
        <w:ind w:left="360"/>
      </w:pPr>
      <w:r>
        <w:rPr>
          <w:rFonts w:ascii="Times New Roman" w:eastAsia="Times New Roman" w:hAnsi="Times New Roman"/>
          <w:color w:val="000000"/>
          <w:sz w:val="24"/>
          <w:szCs w:val="24"/>
        </w:rPr>
        <w:t>Curator and approved by the Committee.  Priorities will be established based on available funding, artwork condition and the Strategic Plan. A conservation schedule, established by a conservator will be followed according to recommendations for each artwork. The entire Collection will be assessed annually for any conservation work needed or addressed more immediately if damage is noted. An annual conservation plan will be presented each September to the Committee.</w:t>
      </w:r>
    </w:p>
    <w:p w:rsidR="00E86AF8" w:rsidRDefault="00E86AF8">
      <w:pPr>
        <w:spacing w:after="0" w:line="240" w:lineRule="auto"/>
        <w:rPr>
          <w:rFonts w:ascii="Times New Roman" w:eastAsia="Times New Roman" w:hAnsi="Times New Roman"/>
          <w:sz w:val="24"/>
          <w:szCs w:val="24"/>
        </w:rPr>
      </w:pPr>
    </w:p>
    <w:p w:rsidR="00E86AF8" w:rsidRDefault="00C03E92">
      <w:pPr>
        <w:numPr>
          <w:ilvl w:val="0"/>
          <w:numId w:val="24"/>
        </w:numPr>
        <w:tabs>
          <w:tab w:val="left" w:pos="72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Ethical Procedures and Conflict of Interest</w:t>
      </w:r>
    </w:p>
    <w:p w:rsidR="00E86AF8" w:rsidRDefault="00C03E92">
      <w:pPr>
        <w:spacing w:after="0" w:line="240" w:lineRule="auto"/>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No member of the Committee shall profit financially or through receiving favors from any transaction involving the sale, resale, gift, loan, or exchange of any artwork to the University of Houston System.  </w:t>
      </w:r>
    </w:p>
    <w:p w:rsidR="00E86AF8" w:rsidRDefault="00E86AF8">
      <w:pPr>
        <w:spacing w:after="0" w:line="240" w:lineRule="auto"/>
        <w:rPr>
          <w:rFonts w:ascii="Times New Roman" w:eastAsia="Times New Roman" w:hAnsi="Times New Roman"/>
          <w:sz w:val="24"/>
          <w:szCs w:val="24"/>
        </w:rPr>
      </w:pPr>
    </w:p>
    <w:p w:rsidR="00E86AF8" w:rsidRDefault="00C03E92">
      <w:pPr>
        <w:pStyle w:val="ListParagraph"/>
        <w:numPr>
          <w:ilvl w:val="0"/>
          <w:numId w:val="24"/>
        </w:numPr>
        <w:tabs>
          <w:tab w:val="left" w:pos="540"/>
        </w:tabs>
        <w:spacing w:after="0" w:line="240" w:lineRule="auto"/>
        <w:ind w:left="36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Review of Policy</w:t>
      </w:r>
    </w:p>
    <w:p w:rsidR="00E86AF8" w:rsidRDefault="00C03E92">
      <w:pPr>
        <w:pStyle w:val="ListParagraph"/>
        <w:spacing w:after="0" w:line="240" w:lineRule="auto"/>
        <w:ind w:left="360"/>
      </w:pPr>
      <w:r>
        <w:rPr>
          <w:rFonts w:ascii="Times New Roman" w:eastAsia="Times New Roman" w:hAnsi="Times New Roman"/>
          <w:bCs/>
          <w:color w:val="000000"/>
          <w:sz w:val="24"/>
          <w:szCs w:val="24"/>
        </w:rPr>
        <w:t xml:space="preserve">A formal review of this policy should occur every three years.    </w:t>
      </w:r>
    </w:p>
    <w:p w:rsidR="00E86AF8" w:rsidRDefault="00E86AF8">
      <w:pPr>
        <w:pStyle w:val="ListParagraph"/>
        <w:spacing w:after="0" w:line="240" w:lineRule="auto"/>
        <w:rPr>
          <w:rFonts w:ascii="Times New Roman" w:eastAsia="Times New Roman" w:hAnsi="Times New Roman"/>
          <w:b/>
          <w:bCs/>
          <w:color w:val="000000"/>
          <w:sz w:val="24"/>
          <w:szCs w:val="24"/>
          <w:u w:val="single"/>
        </w:rPr>
      </w:pPr>
    </w:p>
    <w:sectPr w:rsidR="00E86AF8">
      <w:headerReference w:type="default" r:id="rId7"/>
      <w:footerReference w:type="default" r:id="rId8"/>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E5" w:rsidRDefault="00C03E92">
      <w:pPr>
        <w:spacing w:after="0" w:line="240" w:lineRule="auto"/>
      </w:pPr>
      <w:r>
        <w:separator/>
      </w:r>
    </w:p>
  </w:endnote>
  <w:endnote w:type="continuationSeparator" w:id="0">
    <w:p w:rsidR="00E677E5" w:rsidRDefault="00C0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B" w:rsidRDefault="00C74835">
    <w:pPr>
      <w:pStyle w:val="Footer"/>
      <w:rPr>
        <w:rFonts w:ascii="Times New Roman" w:hAnsi="Times New Roman"/>
        <w:sz w:val="24"/>
        <w:szCs w:val="24"/>
      </w:rPr>
    </w:pPr>
    <w:r>
      <w:rPr>
        <w:rFonts w:ascii="Times New Roman" w:hAnsi="Times New Roman"/>
        <w:sz w:val="24"/>
        <w:szCs w:val="24"/>
      </w:rPr>
      <w:t xml:space="preserve">May </w:t>
    </w:r>
    <w:r w:rsidR="00C03E92">
      <w:rPr>
        <w:rFonts w:ascii="Times New Roman" w:hAnsi="Times New Roman"/>
        <w:sz w:val="24"/>
        <w:szCs w:val="24"/>
      </w:rPr>
      <w:t>24, 2018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E5" w:rsidRDefault="00C03E92">
      <w:pPr>
        <w:spacing w:after="0" w:line="240" w:lineRule="auto"/>
      </w:pPr>
      <w:r>
        <w:rPr>
          <w:color w:val="000000"/>
        </w:rPr>
        <w:separator/>
      </w:r>
    </w:p>
  </w:footnote>
  <w:footnote w:type="continuationSeparator" w:id="0">
    <w:p w:rsidR="00E677E5" w:rsidRDefault="00C03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B" w:rsidRDefault="00C03E92">
    <w:pPr>
      <w:pStyle w:val="Header"/>
    </w:pPr>
    <w:r>
      <w:rPr>
        <w:rFonts w:ascii="Times New Roman" w:hAnsi="Times New Roman"/>
        <w:sz w:val="24"/>
        <w:szCs w:val="24"/>
      </w:rPr>
      <w:t>University of Houston Systemwide Public Art Committee Operating Procedures……</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74835">
      <w:rPr>
        <w:rFonts w:ascii="Times New Roman" w:hAnsi="Times New Roman"/>
        <w:noProof/>
        <w:sz w:val="24"/>
        <w:szCs w:val="24"/>
      </w:rPr>
      <w:t>7</w:t>
    </w:r>
    <w:r>
      <w:rPr>
        <w:rFonts w:ascii="Times New Roman" w:hAnsi="Times New Roman"/>
        <w:sz w:val="24"/>
        <w:szCs w:val="24"/>
      </w:rPr>
      <w:fldChar w:fldCharType="end"/>
    </w:r>
  </w:p>
  <w:p w:rsidR="0017624B" w:rsidRDefault="00C7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686"/>
    <w:multiLevelType w:val="multilevel"/>
    <w:tmpl w:val="F36E7868"/>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F72C0E"/>
    <w:multiLevelType w:val="multilevel"/>
    <w:tmpl w:val="A1C808BE"/>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CE7E9D"/>
    <w:multiLevelType w:val="multilevel"/>
    <w:tmpl w:val="40DA399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b w:val="0"/>
        <w:u w:val="none"/>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7C56F6"/>
    <w:multiLevelType w:val="multilevel"/>
    <w:tmpl w:val="DD325ABC"/>
    <w:lvl w:ilvl="0">
      <w:start w:val="12"/>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AF6239"/>
    <w:multiLevelType w:val="multilevel"/>
    <w:tmpl w:val="08888814"/>
    <w:lvl w:ilvl="0">
      <w:start w:val="1"/>
      <w:numFmt w:val="bullet"/>
      <w:lvlText w:val="o"/>
      <w:lvlJc w:val="left"/>
      <w:pPr>
        <w:ind w:left="720" w:hanging="360"/>
      </w:pPr>
      <w:rPr>
        <w:rFonts w:ascii="Courier New" w:hAnsi="Courier New" w:cs="Courier New" w:hint="default"/>
        <w:color w:val="auto"/>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4C26A58"/>
    <w:multiLevelType w:val="multilevel"/>
    <w:tmpl w:val="EBEC507C"/>
    <w:lvl w:ilvl="0">
      <w:start w:val="5"/>
      <w:numFmt w:val="decimal"/>
      <w:lvlText w:val="%1."/>
      <w:lvlJc w:val="left"/>
      <w:pPr>
        <w:ind w:left="720" w:hanging="360"/>
      </w:pPr>
    </w:lvl>
    <w:lvl w:ilvl="1">
      <w:start w:val="5"/>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C43D68"/>
    <w:multiLevelType w:val="multilevel"/>
    <w:tmpl w:val="23666BF8"/>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D20FB3"/>
    <w:multiLevelType w:val="multilevel"/>
    <w:tmpl w:val="D7A6A87E"/>
    <w:lvl w:ilvl="0">
      <w:start w:val="1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964247"/>
    <w:multiLevelType w:val="multilevel"/>
    <w:tmpl w:val="BA3C1318"/>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C6A206C"/>
    <w:multiLevelType w:val="multilevel"/>
    <w:tmpl w:val="11DEEC82"/>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C9B03D6"/>
    <w:multiLevelType w:val="multilevel"/>
    <w:tmpl w:val="B7FE27FA"/>
    <w:lvl w:ilvl="0">
      <w:start w:val="1"/>
      <w:numFmt w:val="upperRoman"/>
      <w:lvlText w:val="%1."/>
      <w:lvlJc w:val="righ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4C23077"/>
    <w:multiLevelType w:val="multilevel"/>
    <w:tmpl w:val="128CE2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C32694"/>
    <w:multiLevelType w:val="multilevel"/>
    <w:tmpl w:val="4F46A69E"/>
    <w:lvl w:ilvl="0">
      <w:start w:val="1"/>
      <w:numFmt w:val="bullet"/>
      <w:lvlText w:val="o"/>
      <w:lvlJc w:val="left"/>
      <w:pPr>
        <w:ind w:left="1710" w:hanging="360"/>
      </w:pPr>
      <w:rPr>
        <w:rFonts w:ascii="Courier New" w:hAnsi="Courier New" w:cs="Courier New" w:hint="default"/>
        <w:color w:val="auto"/>
        <w:sz w:val="20"/>
      </w:rPr>
    </w:lvl>
    <w:lvl w:ilvl="1">
      <w:numFmt w:val="bullet"/>
      <w:lvlText w:val="o"/>
      <w:lvlJc w:val="left"/>
      <w:pPr>
        <w:ind w:left="2430" w:hanging="360"/>
      </w:pPr>
      <w:rPr>
        <w:rFonts w:ascii="Courier New" w:hAnsi="Courier New"/>
        <w:sz w:val="20"/>
      </w:rPr>
    </w:lvl>
    <w:lvl w:ilvl="2">
      <w:numFmt w:val="bullet"/>
      <w:lvlText w:val=""/>
      <w:lvlJc w:val="left"/>
      <w:pPr>
        <w:ind w:left="3150" w:hanging="360"/>
      </w:pPr>
      <w:rPr>
        <w:rFonts w:ascii="Wingdings" w:hAnsi="Wingdings"/>
        <w:sz w:val="20"/>
      </w:rPr>
    </w:lvl>
    <w:lvl w:ilvl="3">
      <w:numFmt w:val="bullet"/>
      <w:lvlText w:val=""/>
      <w:lvlJc w:val="left"/>
      <w:pPr>
        <w:ind w:left="3870" w:hanging="360"/>
      </w:pPr>
      <w:rPr>
        <w:rFonts w:ascii="Wingdings" w:hAnsi="Wingdings"/>
        <w:sz w:val="20"/>
      </w:rPr>
    </w:lvl>
    <w:lvl w:ilvl="4">
      <w:numFmt w:val="bullet"/>
      <w:lvlText w:val=""/>
      <w:lvlJc w:val="left"/>
      <w:pPr>
        <w:ind w:left="4590" w:hanging="360"/>
      </w:pPr>
      <w:rPr>
        <w:rFonts w:ascii="Wingdings" w:hAnsi="Wingdings"/>
        <w:sz w:val="20"/>
      </w:rPr>
    </w:lvl>
    <w:lvl w:ilvl="5">
      <w:numFmt w:val="bullet"/>
      <w:lvlText w:val=""/>
      <w:lvlJc w:val="left"/>
      <w:pPr>
        <w:ind w:left="5310" w:hanging="360"/>
      </w:pPr>
      <w:rPr>
        <w:rFonts w:ascii="Wingdings" w:hAnsi="Wingdings"/>
        <w:sz w:val="20"/>
      </w:rPr>
    </w:lvl>
    <w:lvl w:ilvl="6">
      <w:numFmt w:val="bullet"/>
      <w:lvlText w:val=""/>
      <w:lvlJc w:val="left"/>
      <w:pPr>
        <w:ind w:left="6030" w:hanging="360"/>
      </w:pPr>
      <w:rPr>
        <w:rFonts w:ascii="Wingdings" w:hAnsi="Wingdings"/>
        <w:sz w:val="20"/>
      </w:rPr>
    </w:lvl>
    <w:lvl w:ilvl="7">
      <w:numFmt w:val="bullet"/>
      <w:lvlText w:val=""/>
      <w:lvlJc w:val="left"/>
      <w:pPr>
        <w:ind w:left="6750" w:hanging="360"/>
      </w:pPr>
      <w:rPr>
        <w:rFonts w:ascii="Wingdings" w:hAnsi="Wingdings"/>
        <w:sz w:val="20"/>
      </w:rPr>
    </w:lvl>
    <w:lvl w:ilvl="8">
      <w:numFmt w:val="bullet"/>
      <w:lvlText w:val=""/>
      <w:lvlJc w:val="left"/>
      <w:pPr>
        <w:ind w:left="7470" w:hanging="360"/>
      </w:pPr>
      <w:rPr>
        <w:rFonts w:ascii="Wingdings" w:hAnsi="Wingdings"/>
        <w:sz w:val="20"/>
      </w:rPr>
    </w:lvl>
  </w:abstractNum>
  <w:abstractNum w:abstractNumId="13" w15:restartNumberingAfterBreak="0">
    <w:nsid w:val="3A8708D6"/>
    <w:multiLevelType w:val="multilevel"/>
    <w:tmpl w:val="6C8A41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E810DB7"/>
    <w:multiLevelType w:val="multilevel"/>
    <w:tmpl w:val="C8AAA58A"/>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F4172BE"/>
    <w:multiLevelType w:val="multilevel"/>
    <w:tmpl w:val="4EEAD41C"/>
    <w:lvl w:ilvl="0">
      <w:start w:val="6"/>
      <w:numFmt w:val="decimal"/>
      <w:lvlText w:val="%1."/>
      <w:lvlJc w:val="left"/>
      <w:pPr>
        <w:ind w:left="720" w:hanging="360"/>
      </w:pPr>
    </w:lvl>
    <w:lvl w:ilvl="1">
      <w:start w:val="6"/>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2E566E"/>
    <w:multiLevelType w:val="multilevel"/>
    <w:tmpl w:val="EB7ED864"/>
    <w:lvl w:ilvl="0">
      <w:start w:val="4"/>
      <w:numFmt w:val="decimal"/>
      <w:lvlText w:val="%1."/>
      <w:lvlJc w:val="left"/>
      <w:pPr>
        <w:ind w:left="720" w:hanging="360"/>
      </w:pPr>
    </w:lvl>
    <w:lvl w:ilvl="1">
      <w:start w:val="4"/>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FBA4BB3"/>
    <w:multiLevelType w:val="multilevel"/>
    <w:tmpl w:val="CE9006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3200BA"/>
    <w:multiLevelType w:val="multilevel"/>
    <w:tmpl w:val="0A70D012"/>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1E39A3"/>
    <w:multiLevelType w:val="multilevel"/>
    <w:tmpl w:val="E078FA06"/>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F725994"/>
    <w:multiLevelType w:val="hybridMultilevel"/>
    <w:tmpl w:val="8A50C2F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43166"/>
    <w:multiLevelType w:val="multilevel"/>
    <w:tmpl w:val="80D2937E"/>
    <w:lvl w:ilvl="0">
      <w:start w:val="1"/>
      <w:numFmt w:val="decimal"/>
      <w:lvlText w:val="%1."/>
      <w:lvlJc w:val="left"/>
      <w:pPr>
        <w:ind w:left="720" w:hanging="360"/>
      </w:pPr>
    </w:lvl>
    <w:lvl w:ilvl="1">
      <w:start w:val="1"/>
      <w:numFmt w:val="low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3AA0E05"/>
    <w:multiLevelType w:val="multilevel"/>
    <w:tmpl w:val="2B3AB75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9935467"/>
    <w:multiLevelType w:val="multilevel"/>
    <w:tmpl w:val="79E4949E"/>
    <w:lvl w:ilvl="0">
      <w:start w:val="10"/>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FE847BE"/>
    <w:multiLevelType w:val="multilevel"/>
    <w:tmpl w:val="084CC3A6"/>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18"/>
  </w:num>
  <w:num w:numId="3">
    <w:abstractNumId w:val="21"/>
  </w:num>
  <w:num w:numId="4">
    <w:abstractNumId w:val="0"/>
  </w:num>
  <w:num w:numId="5">
    <w:abstractNumId w:val="22"/>
  </w:num>
  <w:num w:numId="6">
    <w:abstractNumId w:val="16"/>
  </w:num>
  <w:num w:numId="7">
    <w:abstractNumId w:val="5"/>
  </w:num>
  <w:num w:numId="8">
    <w:abstractNumId w:val="15"/>
  </w:num>
  <w:num w:numId="9">
    <w:abstractNumId w:val="14"/>
  </w:num>
  <w:num w:numId="10">
    <w:abstractNumId w:val="19"/>
  </w:num>
  <w:num w:numId="11">
    <w:abstractNumId w:val="24"/>
  </w:num>
  <w:num w:numId="12">
    <w:abstractNumId w:val="8"/>
  </w:num>
  <w:num w:numId="13">
    <w:abstractNumId w:val="2"/>
  </w:num>
  <w:num w:numId="14">
    <w:abstractNumId w:val="4"/>
  </w:num>
  <w:num w:numId="15">
    <w:abstractNumId w:val="13"/>
  </w:num>
  <w:num w:numId="16">
    <w:abstractNumId w:val="12"/>
  </w:num>
  <w:num w:numId="17">
    <w:abstractNumId w:val="9"/>
  </w:num>
  <w:num w:numId="18">
    <w:abstractNumId w:val="17"/>
  </w:num>
  <w:num w:numId="19">
    <w:abstractNumId w:val="1"/>
  </w:num>
  <w:num w:numId="20">
    <w:abstractNumId w:val="6"/>
  </w:num>
  <w:num w:numId="21">
    <w:abstractNumId w:val="23"/>
  </w:num>
  <w:num w:numId="22">
    <w:abstractNumId w:val="11"/>
  </w:num>
  <w:num w:numId="23">
    <w:abstractNumId w:val="7"/>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F8"/>
    <w:rsid w:val="001E6085"/>
    <w:rsid w:val="00394977"/>
    <w:rsid w:val="00510580"/>
    <w:rsid w:val="00762D38"/>
    <w:rsid w:val="008155F2"/>
    <w:rsid w:val="00C03E92"/>
    <w:rsid w:val="00C74835"/>
    <w:rsid w:val="00DE7D31"/>
    <w:rsid w:val="00E677E5"/>
    <w:rsid w:val="00E86AF8"/>
    <w:rsid w:val="00E9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37AB-3DF9-4ED5-9C8E-82633B90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2951</Words>
  <Characters>15229</Characters>
  <Application>Microsoft Office Word</Application>
  <DocSecurity>0</DocSecurity>
  <Lines>7614</Lines>
  <Paragraphs>1009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 Emily</dc:creator>
  <cp:lastModifiedBy>Kaiser, Brooke A</cp:lastModifiedBy>
  <cp:revision>3</cp:revision>
  <cp:lastPrinted>2017-09-21T18:12:00Z</cp:lastPrinted>
  <dcterms:created xsi:type="dcterms:W3CDTF">2018-06-07T19:14:00Z</dcterms:created>
  <dcterms:modified xsi:type="dcterms:W3CDTF">2018-06-07T19:16:00Z</dcterms:modified>
</cp:coreProperties>
</file>